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15C" w:rsidRDefault="0018215C" w:rsidP="0018215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4365" cy="671195"/>
            <wp:effectExtent l="1905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15C" w:rsidRDefault="0018215C" w:rsidP="0018215C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МИНИСТЕРСТВО НАУКИ И ВЫСШЕГО ОБРАЗОВАНИЯ РОССИЙСКОЙ ФЕДЕРАЦИИ</w:t>
      </w:r>
    </w:p>
    <w:p w:rsidR="0018215C" w:rsidRDefault="0018215C" w:rsidP="0018215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8215C" w:rsidRDefault="0018215C" w:rsidP="0018215C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18215C" w:rsidRDefault="0018215C" w:rsidP="0018215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18215C" w:rsidRPr="000C16C0" w:rsidRDefault="0018215C" w:rsidP="001821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215C" w:rsidRPr="000C16C0" w:rsidRDefault="0018215C" w:rsidP="001821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18215C" w:rsidRPr="000C16C0" w:rsidRDefault="0018215C" w:rsidP="001821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М</w:t>
      </w:r>
      <w:r w:rsidRPr="000C16C0">
        <w:rPr>
          <w:b/>
          <w:snapToGrid w:val="0"/>
          <w:sz w:val="28"/>
          <w:szCs w:val="28"/>
        </w:rPr>
        <w:t>ЕТОДИЧЕСКИЕ УКАЗАНИЯ</w:t>
      </w:r>
    </w:p>
    <w:p w:rsidR="003A5ECC" w:rsidRPr="000C16C0" w:rsidRDefault="003A5ECC" w:rsidP="003A5ECC">
      <w:pPr>
        <w:pStyle w:val="1"/>
        <w:spacing w:line="360" w:lineRule="auto"/>
        <w:ind w:left="0" w:firstLine="0"/>
        <w:jc w:val="center"/>
        <w:rPr>
          <w:sz w:val="28"/>
          <w:szCs w:val="28"/>
        </w:rPr>
      </w:pPr>
      <w:r w:rsidRPr="000C16C0">
        <w:rPr>
          <w:snapToGrid w:val="0"/>
          <w:sz w:val="28"/>
          <w:szCs w:val="28"/>
        </w:rPr>
        <w:t xml:space="preserve">И </w:t>
      </w:r>
      <w:r w:rsidR="00491A34">
        <w:rPr>
          <w:sz w:val="28"/>
          <w:szCs w:val="28"/>
        </w:rPr>
        <w:t>ТЕМАТИКА КОНТРОЛЬНЫХ РАБОТ</w:t>
      </w:r>
    </w:p>
    <w:p w:rsidR="003A5ECC" w:rsidRPr="000C16C0" w:rsidRDefault="003A5ECC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 w:rsidRPr="000C16C0">
        <w:rPr>
          <w:snapToGrid w:val="0"/>
          <w:sz w:val="28"/>
          <w:szCs w:val="28"/>
        </w:rPr>
        <w:t>ПО ДИСЦИПЛИНЕ</w:t>
      </w:r>
    </w:p>
    <w:p w:rsidR="003A5ECC" w:rsidRPr="000C16C0" w:rsidRDefault="00672825" w:rsidP="003A5ECC">
      <w:pPr>
        <w:pStyle w:val="a4"/>
        <w:spacing w:line="360" w:lineRule="auto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«ПРАВОВЫЕ</w:t>
      </w:r>
      <w:r w:rsidR="0047047E">
        <w:rPr>
          <w:snapToGrid w:val="0"/>
          <w:sz w:val="28"/>
          <w:szCs w:val="28"/>
        </w:rPr>
        <w:t xml:space="preserve"> </w:t>
      </w:r>
      <w:r w:rsidR="004264C7">
        <w:rPr>
          <w:snapToGrid w:val="0"/>
          <w:sz w:val="28"/>
          <w:szCs w:val="28"/>
        </w:rPr>
        <w:t xml:space="preserve">И ЭТИЧЕСКИЕ </w:t>
      </w:r>
      <w:r>
        <w:rPr>
          <w:snapToGrid w:val="0"/>
          <w:sz w:val="28"/>
          <w:szCs w:val="28"/>
        </w:rPr>
        <w:t>ОСНОВЫ ПРОФЕССИОНАЛЬНОЙ ДЕЯТЕЛЬНОСТИ</w:t>
      </w:r>
      <w:r w:rsidR="003A5ECC" w:rsidRPr="000C16C0">
        <w:rPr>
          <w:snapToGrid w:val="0"/>
          <w:sz w:val="28"/>
          <w:szCs w:val="28"/>
        </w:rPr>
        <w:t>»</w:t>
      </w:r>
    </w:p>
    <w:p w:rsidR="003A5ECC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2CE3" w:rsidRDefault="00DF2CE3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C16C0">
        <w:rPr>
          <w:rFonts w:ascii="Times New Roman" w:hAnsi="Times New Roman" w:cs="Times New Roman"/>
          <w:sz w:val="28"/>
          <w:szCs w:val="28"/>
        </w:rPr>
        <w:t xml:space="preserve">остов-на-Дону </w:t>
      </w:r>
    </w:p>
    <w:p w:rsidR="003A5ECC" w:rsidRDefault="003A5ECC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3A5ECC" w:rsidRPr="000C16C0" w:rsidRDefault="00725BA2" w:rsidP="003A5E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DF2CE3" w:rsidRDefault="00DF2CE3" w:rsidP="003A5ECC">
      <w:pPr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3A5E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</w:t>
      </w:r>
      <w:r w:rsidRPr="000C16C0">
        <w:rPr>
          <w:rFonts w:ascii="Times New Roman" w:hAnsi="Times New Roman" w:cs="Times New Roman"/>
          <w:sz w:val="28"/>
          <w:szCs w:val="28"/>
        </w:rPr>
        <w:t xml:space="preserve">: </w:t>
      </w:r>
      <w:r w:rsidR="00746546">
        <w:rPr>
          <w:rFonts w:ascii="Times New Roman" w:hAnsi="Times New Roman" w:cs="Times New Roman"/>
          <w:sz w:val="28"/>
          <w:szCs w:val="28"/>
        </w:rPr>
        <w:t xml:space="preserve">Е.А. </w:t>
      </w:r>
      <w:r>
        <w:rPr>
          <w:rFonts w:ascii="Times New Roman" w:hAnsi="Times New Roman" w:cs="Times New Roman"/>
          <w:sz w:val="28"/>
          <w:szCs w:val="28"/>
        </w:rPr>
        <w:t>Микова</w:t>
      </w:r>
    </w:p>
    <w:p w:rsidR="003A5ECC" w:rsidRPr="000C16C0" w:rsidRDefault="003A5ECC" w:rsidP="003A5ECC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3A5ECC" w:rsidRPr="000C16C0" w:rsidRDefault="003A5ECC" w:rsidP="00B963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Методические указ</w:t>
      </w:r>
      <w:r w:rsidR="00971E11">
        <w:rPr>
          <w:rFonts w:ascii="Times New Roman" w:hAnsi="Times New Roman" w:cs="Times New Roman"/>
          <w:sz w:val="28"/>
          <w:szCs w:val="28"/>
        </w:rPr>
        <w:t>ания и тематика контрольных работ</w:t>
      </w:r>
      <w:r w:rsidRPr="000C16C0">
        <w:rPr>
          <w:rFonts w:ascii="Times New Roman" w:hAnsi="Times New Roman" w:cs="Times New Roman"/>
          <w:sz w:val="28"/>
          <w:szCs w:val="28"/>
        </w:rPr>
        <w:t xml:space="preserve"> по дисциплине «</w:t>
      </w:r>
      <w:r w:rsidR="00672825">
        <w:rPr>
          <w:rFonts w:ascii="Times New Roman" w:hAnsi="Times New Roman" w:cs="Times New Roman"/>
          <w:sz w:val="28"/>
          <w:szCs w:val="28"/>
        </w:rPr>
        <w:t>Правовые</w:t>
      </w:r>
      <w:r w:rsidR="0047047E">
        <w:rPr>
          <w:rFonts w:ascii="Times New Roman" w:hAnsi="Times New Roman" w:cs="Times New Roman"/>
          <w:sz w:val="28"/>
          <w:szCs w:val="28"/>
        </w:rPr>
        <w:t xml:space="preserve"> </w:t>
      </w:r>
      <w:r w:rsidR="00672825">
        <w:rPr>
          <w:rFonts w:ascii="Times New Roman" w:hAnsi="Times New Roman" w:cs="Times New Roman"/>
          <w:sz w:val="28"/>
          <w:szCs w:val="28"/>
        </w:rPr>
        <w:t>основы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»  -  Ростов-на-Дону: До</w:t>
      </w:r>
      <w:r w:rsidR="00725BA2">
        <w:rPr>
          <w:rFonts w:ascii="Times New Roman" w:hAnsi="Times New Roman" w:cs="Times New Roman"/>
          <w:sz w:val="28"/>
          <w:szCs w:val="28"/>
        </w:rPr>
        <w:t>нской гос.техн.ун-т, 2024</w:t>
      </w:r>
      <w:r w:rsidR="00B963B2">
        <w:rPr>
          <w:rFonts w:ascii="Times New Roman" w:hAnsi="Times New Roman" w:cs="Times New Roman"/>
          <w:sz w:val="28"/>
          <w:szCs w:val="28"/>
        </w:rPr>
        <w:t>. -  7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746546" w:rsidRDefault="00746546" w:rsidP="007465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46546" w:rsidRPr="000C16C0" w:rsidRDefault="00AE33D6" w:rsidP="00224B7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тематику и требования к выполнению контрольной работы</w:t>
      </w:r>
      <w:r w:rsidR="00672825">
        <w:rPr>
          <w:rFonts w:ascii="Times New Roman" w:hAnsi="Times New Roman" w:cs="Times New Roman"/>
          <w:sz w:val="28"/>
          <w:szCs w:val="28"/>
        </w:rPr>
        <w:t>, а также критерии оценки результатов освоения дисциплины.</w:t>
      </w:r>
    </w:p>
    <w:p w:rsidR="003A5ECC" w:rsidRPr="000C16C0" w:rsidRDefault="003A5ECC" w:rsidP="002A0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C0">
        <w:rPr>
          <w:rFonts w:ascii="Times New Roman" w:hAnsi="Times New Roman" w:cs="Times New Roman"/>
          <w:sz w:val="28"/>
          <w:szCs w:val="28"/>
        </w:rPr>
        <w:t>Предназначены для студентов направления 42.03.01 Реклама и связи с общественностью  (профиль Реклама</w:t>
      </w:r>
      <w:r w:rsidR="007260C3">
        <w:rPr>
          <w:rFonts w:ascii="Times New Roman" w:hAnsi="Times New Roman" w:cs="Times New Roman"/>
          <w:sz w:val="28"/>
          <w:szCs w:val="28"/>
        </w:rPr>
        <w:t xml:space="preserve"> и связи с общественностью в брендинге и интернет-маркетинге</w:t>
      </w:r>
      <w:r w:rsidRPr="000C16C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ECC" w:rsidRPr="000C16C0" w:rsidRDefault="00746546" w:rsidP="00BF0F3E">
      <w:pPr>
        <w:ind w:left="7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УДК </w:t>
      </w:r>
      <w:r w:rsidR="00BF0F3E">
        <w:rPr>
          <w:rFonts w:ascii="Times New Roman" w:hAnsi="Times New Roman" w:cs="Times New Roman"/>
          <w:sz w:val="28"/>
          <w:szCs w:val="28"/>
        </w:rPr>
        <w:t>347.7:</w:t>
      </w:r>
      <w:r>
        <w:rPr>
          <w:rFonts w:ascii="Times New Roman" w:hAnsi="Times New Roman" w:cs="Times New Roman"/>
          <w:sz w:val="28"/>
          <w:szCs w:val="28"/>
        </w:rPr>
        <w:t>659.1</w:t>
      </w:r>
    </w:p>
    <w:p w:rsidR="00E2308F" w:rsidRDefault="00E2308F" w:rsidP="000524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«История и культурология», канд.ист.наук, доцент Н.В. Шишова</w:t>
      </w: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Default="0018215C" w:rsidP="001821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8215C" w:rsidRPr="005F1EE4" w:rsidRDefault="0018215C" w:rsidP="0018215C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5F1EE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5F1EE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 w:rsidR="00725BA2">
        <w:rPr>
          <w:rFonts w:ascii="Times New Roman" w:eastAsia="Times New Roman" w:hAnsi="Times New Roman" w:cs="Times New Roman"/>
          <w:spacing w:val="20"/>
          <w:sz w:val="28"/>
          <w:szCs w:val="24"/>
        </w:rPr>
        <w:t>, 2024</w:t>
      </w:r>
      <w:r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г. </w:t>
      </w:r>
    </w:p>
    <w:p w:rsidR="00672825" w:rsidRDefault="00672825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8215C" w:rsidRDefault="0018215C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8215C" w:rsidRDefault="0018215C" w:rsidP="003A5ECC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Роль дисциплины заключается в знакомстве студентов с основами правового регулирования профессионально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(рекламной) деятельности, что является фундаментом для подготовки выпускника в соответствии с квалификационной характеристикой, установленной Государственным образовательным стандартом.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Целью дисциплины является формирование у студентов юридического мировоззрения, умения анализировать различные юридические ситуации, складывающиеся в ходе реализации норм, регулирующих профессиональную деятельность.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Для достижения данной цели необходимо решить следующие задачи:обучить студентов правовым основам рекламной деятельности, развить навыки применения законодательства о рекламе, указать на роль государственного регулирования и контроля рекламной деятельности, ее саморегулирования, значения традиций, общественных норм, морали и этики в регулировании рекламного процесса.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Дисциплина «Правовые </w:t>
      </w:r>
      <w:r w:rsidR="004264C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этические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основы профессиональной деятельности» направлена на освоение студентами знаний в области правового обеспечения профессиональной деятельности, в том числе изучение основных правовых категорий, особенностей субъектного состава правоотношений, положений, касающихся регулирования отдельных правовых институтов; приобретения практических навыков правового анализа и решения юридических споров, связанных с реализацией норм в сфере регулирования профессиональной деятельности, а также понимания правового содержания и сущности правовых процедур; понимание проблем правового обеспечения профессиональной деятельности в современной России.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Контрольная работа одна из основных форм межсессионных заданий для студентов заочной формы обучения. Выполнение контрольной работы является итогом изучения студентами  основных аспектов наружной рекламы;  достоинств и недостатков её основных видов; принципов и психологических аспектов воздействия наружной рекламы на потребителя;  материалов и технологий, применяемых в изготовлении наружной рекламы; принципов управления и правового регулирования современного рынка наружной рекламы.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Письменные работы выполняются по специальной тематике контрольных работ, составленных кафедрой «Истории и культурологии» на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основе учебной программы курса «Правовые </w:t>
      </w:r>
      <w:r w:rsidR="004264C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этические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основы профессиональной деятельности».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Согласно учебному плану студент-заочник обязан выполнить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одну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контрольную работу. Тема контрольной работы выбирается студентом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соответствии с последней цифрой номера зачетной книжки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Например, если последняя цифра номера зачетки – 4, то студент может  выбрать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одну из тем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 номерами 4 или 14 , если последняя цифра – 0, то может быть выбрана тема под номером 10 или 20 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Выполнение контрольной работы – большая и серьезная работа, которая включает в себя несколько этапов: выбор темы, изучение рекомендованной к теме литературы, а также дополнительных изданий, отобранных самим студентом; составление плана, который должен раскрывать содержание темы; написание текста самой работы в строгом соответствии с планом и выбранной темой.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начале работы обязательно формулируется тема контрольной, затем помещается ее план. </w:t>
      </w:r>
      <w:r w:rsidRPr="00672825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Контрольная работа должна обязательно состоять</w:t>
      </w:r>
      <w:r w:rsidRPr="00672825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из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введения, основной части и заключения.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 введении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следует дать обоснование важности и актуальности избранной темы,  сформулировать цель и задачи работы. При раскрытии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основных вопросов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необходимо обеспечить их полное соответствие формулировкам плана. Каждый раздел основной части должен завершаться краткими выводами. Кроме того, теоретические положения и выводы должны подкрепляться практическими примерами.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Times New Roman, полуторный интервал), с выделением абзацев, страницы – пронумерованы. Слева оставляются поля. Объем контрольной работы –  10-14 печатных страниц. В конце работы нужно указать список литературы, использованной студентом для написания контрольной, включая электронные издания (но не готовые рефераты и контрольные!), при этом следует использовать преимущественно литературу последних лет издания, не менее  пяти наименований. Список источников должен быть оформлен в алфавитном порядке с указанием фамилии автора, полного названия источника, выходных данных (место, год 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издания, ссылка на соответствующий Интернет-сайт для электронных источников). 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На защите контрольной работы или зачёте (экзамене) студент  представляет экзаменатору свою контрольную работу, рецензию и текст дополнений.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в виде собеседования по теме контрольной работы, т.е. </w:t>
      </w:r>
      <w:r w:rsidRPr="006728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студент должен знать содержание своей работы и уметь внятно и четко его изложить при устном ответе</w:t>
      </w: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. Результаты собеседований засчитываются преподавателем при выставлении зачетов по итогам работы студентов в период зачетно-экзаменационной сессии.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Студенты, получившие зачет за выполненную контрольную работу, допускаются к сдаче зачёта по дисциплине «Правовые основы профессиональной деятельности».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/>
          <w:sz w:val="28"/>
          <w:szCs w:val="28"/>
        </w:rPr>
        <w:t>Подробные разъяснения по всем вопросам изучения курса студенты могут получить на консультациях, проводимых на кафедре «История и культурология», расписание которых сообщается через деканаты.</w:t>
      </w:r>
    </w:p>
    <w:p w:rsidR="00672825" w:rsidRPr="00672825" w:rsidRDefault="00672825" w:rsidP="00672825">
      <w:pPr>
        <w:ind w:right="12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Тематика контрольных работ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Предмет и основные принципы правовых основ профессиональной (рекламной) деятельности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Социальная значимость рекламы.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Реклама и общество.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Государственное регулирование рекламной деятельности. Задачи и основные принципы.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Механизм государственного регулирования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Законодательство, регулирующее рекламную деятельность в РФ.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закон РФ «О рекламе».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Понятие рекламы. Общие и специальные требования к рекламе. Ненадлежащая реклама.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Недобросовестная реклама и правовые способы борьбы с ней.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 РФ «</w:t>
      </w:r>
      <w:r w:rsidR="002E34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защите ко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r w:rsidR="002E34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куренции</w:t>
      </w:r>
      <w:r w:rsidR="008747F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Недобросовестная конкуренция и правовые способы борьбы с ней.</w:t>
      </w:r>
    </w:p>
    <w:p w:rsidR="00672825" w:rsidRPr="00672825" w:rsidRDefault="008747F7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Федеральный закон РФ «О защите прав потребителей»</w:t>
      </w:r>
      <w:r w:rsidR="00672825"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Права потребителя на достоверную и правдивую информацию об изготовителе товара, о товаре, его качестве и безопасности. Ответственность за нарушение этих прав потребителя.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Правовая защита авторских прав. Ответственность за нарушение прав автора 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отдельных способов распространения рекламы, и их правовое регулирование.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 рекламы отдельных  товаров и видов деятельности с точки зрения правового регулирования.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правового регулирования рекламы в США.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Особенности законодательства о рекламе в Германии, Франции, Англии и Японии.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Участники рекламной деятельности и их правовое положение. Правовая защита их интересов.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Организационно-правовые формы юридических лиц в рекламной деятельности, их правовой статус.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Договоры в рекламной деятельности. Порядок их заключения, изменения и прекращения, форма договоров.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Стороны договоров, применяемых в рекламной деятельности. Права и обязанности рекламодателей, рекламопроизводителей и рекламораспространителей, их ответственность за неисполнение своих обязательств.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Правовая защита участников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Государственный контроль в рекламной деятельности.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Ответственность за нарушение законодательства о рекламе.</w:t>
      </w:r>
    </w:p>
    <w:p w:rsidR="00672825" w:rsidRP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Саморегулирование рекламной деятельности.</w:t>
      </w:r>
    </w:p>
    <w:p w:rsidR="00672825" w:rsidRDefault="00672825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Международный кодекс рекламной практики.</w:t>
      </w:r>
    </w:p>
    <w:p w:rsidR="002E348A" w:rsidRPr="00672825" w:rsidRDefault="002E348A" w:rsidP="008E5545">
      <w:pPr>
        <w:numPr>
          <w:ilvl w:val="0"/>
          <w:numId w:val="24"/>
        </w:numPr>
        <w:tabs>
          <w:tab w:val="clear" w:pos="795"/>
          <w:tab w:val="num" w:pos="-1260"/>
          <w:tab w:val="num" w:pos="426"/>
        </w:tabs>
        <w:spacing w:after="0"/>
        <w:ind w:left="567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Российский кодекс практики рекламы и маркетинговых коммуникаций</w:t>
      </w:r>
    </w:p>
    <w:p w:rsidR="00AB5E1E" w:rsidRPr="00AB5E1E" w:rsidRDefault="00AB5E1E" w:rsidP="00AB5E1E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E1E">
        <w:rPr>
          <w:rFonts w:ascii="Times New Roman" w:hAnsi="Times New Roman" w:cs="Times New Roman"/>
          <w:b/>
          <w:sz w:val="28"/>
          <w:szCs w:val="28"/>
        </w:rPr>
        <w:lastRenderedPageBreak/>
        <w:t>Перечень рекомендуемых информационных ресурсов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426E" w:rsidRDefault="00EB426E" w:rsidP="00EB426E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Основная литература</w:t>
      </w:r>
    </w:p>
    <w:p w:rsidR="00EB426E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1070A" w:rsidRDefault="0071070A" w:rsidP="0071070A">
      <w:pPr>
        <w:pStyle w:val="ab"/>
        <w:numPr>
          <w:ilvl w:val="1"/>
          <w:numId w:val="25"/>
        </w:numPr>
        <w:tabs>
          <w:tab w:val="clear" w:pos="1440"/>
        </w:tabs>
        <w:spacing w:after="0"/>
        <w:ind w:left="567" w:right="125" w:hanging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Богатская С.Г. Правовое регулирование рекламной деятельности. - М.: Университетская книга, 2020 </w:t>
      </w:r>
    </w:p>
    <w:p w:rsidR="00DF2CE3" w:rsidRPr="00DF2CE3" w:rsidRDefault="00DF2CE3" w:rsidP="00DF2CE3">
      <w:pPr>
        <w:pStyle w:val="ab"/>
        <w:numPr>
          <w:ilvl w:val="0"/>
          <w:numId w:val="25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2CE3">
        <w:rPr>
          <w:rFonts w:ascii="Times New Roman" w:eastAsia="Times New Roman" w:hAnsi="Times New Roman" w:cs="Times New Roman"/>
          <w:color w:val="000000"/>
          <w:sz w:val="28"/>
          <w:szCs w:val="28"/>
        </w:rPr>
        <w:t>Дорский А.Ю.</w:t>
      </w:r>
      <w:r w:rsidRPr="00DF2CE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DF2CE3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регулирование рекламной деятельности и связей с общественностью: Учебное пособие. – СПб: Издательство Санкт- Петербургского государственного университета, 2019</w:t>
      </w:r>
    </w:p>
    <w:p w:rsidR="00EB426E" w:rsidRPr="00173727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426E" w:rsidRPr="00173727" w:rsidRDefault="00EB426E" w:rsidP="00EB426E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737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Дополнительная литература</w:t>
      </w:r>
    </w:p>
    <w:p w:rsidR="00EB426E" w:rsidRPr="00173727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Агешкина Н.А. Комментарий к Закону Российской Федерации от 07.02.1992 г. № 2300-I «О защите прав потребителей». - Саратов: Ай Пи Эр Медиа, 2014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Алексеев С. В. Правовое регулирование предпринимательской деятельности. - М.: Юнити-Дана, 2017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Гонгало Б.М. Гражданский кодекс Российской Федерации. Авторское право. Права, смежные с авторскими (постатейный комментарий к главам 69–71). – М.: Статут, 2014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t>Дударова Б.О., Пузыревский С.А.</w:t>
      </w:r>
      <w:r w:rsidRPr="004A3E0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регулирование рекламной</w:t>
      </w: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деятельности: Учебное пособие. – М.:</w:t>
      </w:r>
      <w:r w:rsidRPr="004A3E0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ООО «Юридическое издательство Норма», 2018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Евстафьев В. А., Молин А. В. </w:t>
      </w:r>
      <w:hyperlink r:id="rId8" w:tgtFrame="_blank" w:history="1">
        <w:r w:rsidRPr="004A3E02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Организация и практика работы рекламного агентства. -  М.: «Дашков и К°», 2016 </w:t>
        </w:r>
      </w:hyperlink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Панкратов Ф. Г., Баженов Ю. К., Шахурин В. Г. Основы рекламы. -  М.: «Дашков и К°», 2019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Шарков Ф. И. Интегрированные коммуникации: правовое регулирование в рекламе, связях с общественностью и журналистике. - М.:  «Дашков и К°», 2016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Периодические издания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Бренд-менеджмент. Журнал. - М.: ООО «Издательский дом «Гребенников».</w:t>
      </w: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Маркетинговые коммуникации. Журнал. - М.: ООО «Издательский дом «Гребенников».</w:t>
      </w: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Наружка. Журнал. М.: Издательский дом «Ар энд Ди Коммуникейшнз». Реклама. Теория и практика. Журнал. - М.: ООО «Объединённая редакция».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Интернет-источники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4A3E02" w:rsidRDefault="00672825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Ассоциация коммуникационных агентств России.// www.akarussia.ru </w:t>
      </w:r>
    </w:p>
    <w:p w:rsidR="00672825" w:rsidRPr="004A3E02" w:rsidRDefault="00672825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России».//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</w:p>
    <w:p w:rsidR="004A3E02" w:rsidRPr="004A3E02" w:rsidRDefault="004A3E02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3E02">
        <w:rPr>
          <w:rFonts w:ascii="Times New Roman" w:hAnsi="Times New Roman" w:cs="Times New Roman"/>
          <w:bCs/>
          <w:sz w:val="28"/>
          <w:szCs w:val="28"/>
        </w:rPr>
        <w:t xml:space="preserve">Американская Ассоциация маркетинга.//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www.akarussia.ru</w:t>
      </w:r>
    </w:p>
    <w:p w:rsidR="004A3E02" w:rsidRPr="004A3E02" w:rsidRDefault="004A3E02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3E02">
        <w:rPr>
          <w:rFonts w:ascii="Times New Roman" w:hAnsi="Times New Roman" w:cs="Times New Roman"/>
          <w:bCs/>
          <w:sz w:val="28"/>
          <w:szCs w:val="28"/>
        </w:rPr>
        <w:t>Е</w:t>
      </w:r>
      <w:r w:rsidR="00E44EEA">
        <w:rPr>
          <w:rFonts w:ascii="Times New Roman" w:hAnsi="Times New Roman" w:cs="Times New Roman"/>
          <w:bCs/>
          <w:sz w:val="28"/>
          <w:szCs w:val="28"/>
        </w:rPr>
        <w:t>вропейская маркетинговая конферерация</w:t>
      </w:r>
      <w:r w:rsidRPr="004A3E02">
        <w:rPr>
          <w:rFonts w:ascii="Times New Roman" w:hAnsi="Times New Roman" w:cs="Times New Roman"/>
          <w:bCs/>
          <w:sz w:val="28"/>
          <w:szCs w:val="28"/>
        </w:rPr>
        <w:t xml:space="preserve">.//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// </w:t>
      </w:r>
      <w:hyperlink r:id="rId9" w:history="1">
        <w:r w:rsidRPr="004A3E0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https://www.ama.org/</w:t>
        </w:r>
      </w:hyperlink>
    </w:p>
    <w:p w:rsidR="004A3E02" w:rsidRPr="00672825" w:rsidRDefault="004A3E02" w:rsidP="004A3E02">
      <w:p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spacing w:after="0"/>
        <w:ind w:left="426"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sectPr w:rsidR="00672825" w:rsidRPr="00672825" w:rsidSect="00AE33D6">
      <w:footerReference w:type="default" r:id="rId10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550" w:rsidRDefault="00970550" w:rsidP="00AE33D6">
      <w:pPr>
        <w:spacing w:after="0" w:line="240" w:lineRule="auto"/>
      </w:pPr>
      <w:r>
        <w:separator/>
      </w:r>
    </w:p>
  </w:endnote>
  <w:endnote w:type="continuationSeparator" w:id="1">
    <w:p w:rsidR="00970550" w:rsidRDefault="00970550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738594"/>
    </w:sdtPr>
    <w:sdtContent>
      <w:p w:rsidR="00AE33D6" w:rsidRDefault="00D6736B">
        <w:pPr>
          <w:pStyle w:val="a7"/>
          <w:jc w:val="center"/>
        </w:pPr>
        <w:r>
          <w:rPr>
            <w:noProof/>
          </w:rPr>
          <w:fldChar w:fldCharType="begin"/>
        </w:r>
        <w:r w:rsidR="00F06FB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44EE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550" w:rsidRDefault="00970550" w:rsidP="00AE33D6">
      <w:pPr>
        <w:spacing w:after="0" w:line="240" w:lineRule="auto"/>
      </w:pPr>
      <w:r>
        <w:separator/>
      </w:r>
    </w:p>
  </w:footnote>
  <w:footnote w:type="continuationSeparator" w:id="1">
    <w:p w:rsidR="00970550" w:rsidRDefault="00970550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72B"/>
    <w:multiLevelType w:val="hybridMultilevel"/>
    <w:tmpl w:val="B846CC40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401F2"/>
    <w:multiLevelType w:val="multilevel"/>
    <w:tmpl w:val="D1122F7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6A50DF5"/>
    <w:multiLevelType w:val="hybridMultilevel"/>
    <w:tmpl w:val="22160080"/>
    <w:lvl w:ilvl="0" w:tplc="45A8A77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72979"/>
    <w:multiLevelType w:val="multilevel"/>
    <w:tmpl w:val="96BC118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FB27576"/>
    <w:multiLevelType w:val="hybridMultilevel"/>
    <w:tmpl w:val="DAB0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FD30E2"/>
    <w:multiLevelType w:val="multilevel"/>
    <w:tmpl w:val="CBFC2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nsid w:val="64393599"/>
    <w:multiLevelType w:val="hybridMultilevel"/>
    <w:tmpl w:val="EF36B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7">
    <w:nsid w:val="70DC7796"/>
    <w:multiLevelType w:val="hybridMultilevel"/>
    <w:tmpl w:val="0F06A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C5B64"/>
    <w:multiLevelType w:val="hybridMultilevel"/>
    <w:tmpl w:val="57524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B606A09"/>
    <w:multiLevelType w:val="hybridMultilevel"/>
    <w:tmpl w:val="0A104D06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</w:num>
  <w:num w:numId="2">
    <w:abstractNumId w:val="14"/>
  </w:num>
  <w:num w:numId="3">
    <w:abstractNumId w:val="13"/>
  </w:num>
  <w:num w:numId="4">
    <w:abstractNumId w:val="31"/>
  </w:num>
  <w:num w:numId="5">
    <w:abstractNumId w:val="21"/>
  </w:num>
  <w:num w:numId="6">
    <w:abstractNumId w:val="6"/>
  </w:num>
  <w:num w:numId="7">
    <w:abstractNumId w:val="15"/>
  </w:num>
  <w:num w:numId="8">
    <w:abstractNumId w:val="7"/>
  </w:num>
  <w:num w:numId="9">
    <w:abstractNumId w:val="26"/>
  </w:num>
  <w:num w:numId="10">
    <w:abstractNumId w:val="20"/>
  </w:num>
  <w:num w:numId="11">
    <w:abstractNumId w:val="3"/>
  </w:num>
  <w:num w:numId="12">
    <w:abstractNumId w:val="25"/>
  </w:num>
  <w:num w:numId="13">
    <w:abstractNumId w:val="9"/>
  </w:num>
  <w:num w:numId="14">
    <w:abstractNumId w:val="23"/>
  </w:num>
  <w:num w:numId="15">
    <w:abstractNumId w:val="8"/>
  </w:num>
  <w:num w:numId="16">
    <w:abstractNumId w:val="1"/>
  </w:num>
  <w:num w:numId="17">
    <w:abstractNumId w:val="12"/>
  </w:num>
  <w:num w:numId="18">
    <w:abstractNumId w:val="17"/>
  </w:num>
  <w:num w:numId="19">
    <w:abstractNumId w:val="29"/>
  </w:num>
  <w:num w:numId="20">
    <w:abstractNumId w:val="16"/>
  </w:num>
  <w:num w:numId="21">
    <w:abstractNumId w:val="10"/>
  </w:num>
  <w:num w:numId="22">
    <w:abstractNumId w:val="11"/>
  </w:num>
  <w:num w:numId="23">
    <w:abstractNumId w:val="4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0"/>
  </w:num>
  <w:num w:numId="31">
    <w:abstractNumId w:val="27"/>
  </w:num>
  <w:num w:numId="32">
    <w:abstractNumId w:val="5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5ECC"/>
    <w:rsid w:val="000524CB"/>
    <w:rsid w:val="00146D47"/>
    <w:rsid w:val="001560FC"/>
    <w:rsid w:val="0018215C"/>
    <w:rsid w:val="00185B09"/>
    <w:rsid w:val="001B7F2C"/>
    <w:rsid w:val="001D7A67"/>
    <w:rsid w:val="002009B3"/>
    <w:rsid w:val="00224B78"/>
    <w:rsid w:val="0023641E"/>
    <w:rsid w:val="00277CFD"/>
    <w:rsid w:val="002953B7"/>
    <w:rsid w:val="002A01E4"/>
    <w:rsid w:val="002B6A8D"/>
    <w:rsid w:val="002E348A"/>
    <w:rsid w:val="0034470B"/>
    <w:rsid w:val="00380F8E"/>
    <w:rsid w:val="003A5ECC"/>
    <w:rsid w:val="003C023B"/>
    <w:rsid w:val="004264C7"/>
    <w:rsid w:val="00453449"/>
    <w:rsid w:val="0047047E"/>
    <w:rsid w:val="00491A34"/>
    <w:rsid w:val="004A3E02"/>
    <w:rsid w:val="0056433C"/>
    <w:rsid w:val="00577219"/>
    <w:rsid w:val="005A1F76"/>
    <w:rsid w:val="005C32E9"/>
    <w:rsid w:val="00605056"/>
    <w:rsid w:val="00665D76"/>
    <w:rsid w:val="00671D94"/>
    <w:rsid w:val="00672825"/>
    <w:rsid w:val="006D193A"/>
    <w:rsid w:val="006D7D5D"/>
    <w:rsid w:val="006E4DF4"/>
    <w:rsid w:val="0071070A"/>
    <w:rsid w:val="00725BA2"/>
    <w:rsid w:val="007260C3"/>
    <w:rsid w:val="0074598B"/>
    <w:rsid w:val="00746546"/>
    <w:rsid w:val="00780A9C"/>
    <w:rsid w:val="00786A96"/>
    <w:rsid w:val="007C1731"/>
    <w:rsid w:val="007C1E8A"/>
    <w:rsid w:val="007C7E12"/>
    <w:rsid w:val="007F0EDE"/>
    <w:rsid w:val="007F24F2"/>
    <w:rsid w:val="008747F7"/>
    <w:rsid w:val="008A1D71"/>
    <w:rsid w:val="008A44D3"/>
    <w:rsid w:val="008A5E7F"/>
    <w:rsid w:val="008E5545"/>
    <w:rsid w:val="00970550"/>
    <w:rsid w:val="00971E11"/>
    <w:rsid w:val="00980B79"/>
    <w:rsid w:val="00987C1A"/>
    <w:rsid w:val="00A541CF"/>
    <w:rsid w:val="00AB5E1E"/>
    <w:rsid w:val="00AC6F62"/>
    <w:rsid w:val="00AE33D6"/>
    <w:rsid w:val="00B25EB5"/>
    <w:rsid w:val="00B364DE"/>
    <w:rsid w:val="00B963B2"/>
    <w:rsid w:val="00BA3CBA"/>
    <w:rsid w:val="00BB23DB"/>
    <w:rsid w:val="00BC1996"/>
    <w:rsid w:val="00BF0F3E"/>
    <w:rsid w:val="00C209F5"/>
    <w:rsid w:val="00C6371D"/>
    <w:rsid w:val="00C656FC"/>
    <w:rsid w:val="00D20CC1"/>
    <w:rsid w:val="00D6736B"/>
    <w:rsid w:val="00D76A7F"/>
    <w:rsid w:val="00DA0F8B"/>
    <w:rsid w:val="00DB75C8"/>
    <w:rsid w:val="00DC0368"/>
    <w:rsid w:val="00DC77D7"/>
    <w:rsid w:val="00DF2CE3"/>
    <w:rsid w:val="00E2308F"/>
    <w:rsid w:val="00E44EEA"/>
    <w:rsid w:val="00E8446F"/>
    <w:rsid w:val="00EB426E"/>
    <w:rsid w:val="00EC0736"/>
    <w:rsid w:val="00EE3451"/>
    <w:rsid w:val="00F06FB6"/>
    <w:rsid w:val="00F61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67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282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107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_red&amp;id=385767&amp;sr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am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Елена Микова</cp:lastModifiedBy>
  <cp:revision>32</cp:revision>
  <cp:lastPrinted>2018-11-28T09:38:00Z</cp:lastPrinted>
  <dcterms:created xsi:type="dcterms:W3CDTF">2018-09-08T16:42:00Z</dcterms:created>
  <dcterms:modified xsi:type="dcterms:W3CDTF">2024-09-05T19:26:00Z</dcterms:modified>
</cp:coreProperties>
</file>